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29BA66">
      <w:pPr>
        <w:spacing w:line="453" w:lineRule="auto"/>
      </w:pPr>
    </w:p>
    <w:p w14:paraId="33BCB101">
      <w:pPr>
        <w:pStyle w:val="2"/>
        <w:spacing w:before="121" w:line="194" w:lineRule="auto"/>
        <w:ind w:left="2911"/>
        <w:outlineLvl w:val="0"/>
        <w:rPr>
          <w:sz w:val="28"/>
          <w:szCs w:val="28"/>
          <w:lang w:eastAsia="zh-CN"/>
        </w:rPr>
      </w:pPr>
      <w:r>
        <w:rPr>
          <w:b/>
          <w:bCs/>
          <w:spacing w:val="-1"/>
          <w:sz w:val="28"/>
          <w:szCs w:val="28"/>
          <w:lang w:eastAsia="zh-CN"/>
        </w:rPr>
        <w:t>关于特装展台搭建审图的通知</w:t>
      </w:r>
    </w:p>
    <w:p w14:paraId="4314E03C">
      <w:pPr>
        <w:pStyle w:val="2"/>
        <w:spacing w:before="264" w:line="204" w:lineRule="auto"/>
        <w:ind w:left="2"/>
        <w:rPr>
          <w:lang w:eastAsia="zh-CN"/>
        </w:rPr>
      </w:pPr>
      <w:r>
        <w:rPr>
          <w:b/>
          <w:bCs/>
          <w:spacing w:val="8"/>
          <w:lang w:eastAsia="zh-CN"/>
        </w:rPr>
        <w:t>各参展商、搭建商:</w:t>
      </w:r>
    </w:p>
    <w:p w14:paraId="1C929FC4">
      <w:pPr>
        <w:pStyle w:val="2"/>
        <w:spacing w:before="250" w:line="256" w:lineRule="auto"/>
        <w:ind w:left="2" w:right="6" w:firstLine="288"/>
        <w:jc w:val="both"/>
        <w:rPr>
          <w:lang w:eastAsia="zh-CN"/>
        </w:rPr>
      </w:pPr>
      <w:r>
        <w:rPr>
          <w:spacing w:val="11"/>
          <w:lang w:eastAsia="zh-CN"/>
        </w:rPr>
        <w:t>根据《上海市安全生产条例》、上海市安委会办公室关于加强本市会展业安全生产工作的指导意见等</w:t>
      </w:r>
      <w:r>
        <w:rPr>
          <w:spacing w:val="10"/>
          <w:lang w:eastAsia="zh-CN"/>
        </w:rPr>
        <w:t>法规政策和展馆《关于落实展会安全监管工作的</w:t>
      </w:r>
      <w:r>
        <w:rPr>
          <w:lang w:eastAsia="zh-CN"/>
        </w:rPr>
        <w:t xml:space="preserve"> </w:t>
      </w:r>
      <w:r>
        <w:rPr>
          <w:spacing w:val="7"/>
          <w:lang w:eastAsia="zh-CN"/>
        </w:rPr>
        <w:t>实施细则》的要求， 自</w:t>
      </w:r>
      <w:r>
        <w:rPr>
          <w:spacing w:val="26"/>
          <w:lang w:eastAsia="zh-CN"/>
        </w:rPr>
        <w:t xml:space="preserve"> </w:t>
      </w:r>
      <w:r>
        <w:rPr>
          <w:spacing w:val="7"/>
          <w:lang w:eastAsia="zh-CN"/>
        </w:rPr>
        <w:t>2024 年1月1 日起参展商或搭建商须付费委托有资质的第三方安全监管单位对所有特装展台进行审图工作，</w:t>
      </w:r>
      <w:r>
        <w:rPr>
          <w:spacing w:val="-6"/>
          <w:lang w:eastAsia="zh-CN"/>
        </w:rPr>
        <w:t xml:space="preserve"> </w:t>
      </w:r>
      <w:r>
        <w:rPr>
          <w:spacing w:val="7"/>
          <w:lang w:eastAsia="zh-CN"/>
        </w:rPr>
        <w:t>第三方安全监管单位</w:t>
      </w:r>
      <w:r>
        <w:rPr>
          <w:lang w:eastAsia="zh-CN"/>
        </w:rPr>
        <w:t xml:space="preserve"> </w:t>
      </w:r>
      <w:r>
        <w:rPr>
          <w:spacing w:val="11"/>
          <w:lang w:eastAsia="zh-CN"/>
        </w:rPr>
        <w:t>在审图后负责展会整个展期的现场安全巡查工作，包括但不仅限于检查各光地展位按图施工情况、及时发现展台结构安全隐患</w:t>
      </w:r>
      <w:r>
        <w:rPr>
          <w:spacing w:val="10"/>
          <w:lang w:eastAsia="zh-CN"/>
        </w:rPr>
        <w:t>、监督展台完成整改直至消</w:t>
      </w:r>
      <w:r>
        <w:rPr>
          <w:lang w:eastAsia="zh-CN"/>
        </w:rPr>
        <w:t xml:space="preserve"> </w:t>
      </w:r>
      <w:r>
        <w:rPr>
          <w:spacing w:val="4"/>
          <w:lang w:eastAsia="zh-CN"/>
        </w:rPr>
        <w:t>除隐患等内容。</w:t>
      </w:r>
    </w:p>
    <w:p w14:paraId="22CA82EF">
      <w:pPr>
        <w:pStyle w:val="2"/>
        <w:spacing w:before="166" w:line="256" w:lineRule="auto"/>
        <w:ind w:left="1" w:right="5" w:firstLine="288"/>
        <w:jc w:val="both"/>
        <w:rPr>
          <w:lang w:eastAsia="zh-CN"/>
        </w:rPr>
      </w:pPr>
      <w:r>
        <w:rPr>
          <w:b/>
          <w:bCs/>
          <w:spacing w:val="9"/>
          <w:lang w:eastAsia="zh-CN"/>
        </w:rPr>
        <w:t>根据上述要求，</w:t>
      </w:r>
      <w:r>
        <w:rPr>
          <w:rFonts w:hint="eastAsia"/>
          <w:b/>
          <w:bCs/>
          <w:color w:val="auto"/>
          <w:spacing w:val="9"/>
          <w:u w:val="single"/>
          <w:lang w:val="en-US" w:eastAsia="zh-CN"/>
        </w:rPr>
        <w:t>中国国际五金展览会</w:t>
      </w:r>
      <w:r>
        <w:rPr>
          <w:b/>
          <w:bCs/>
          <w:spacing w:val="9"/>
          <w:lang w:eastAsia="zh-CN"/>
        </w:rPr>
        <w:t>委托</w:t>
      </w:r>
      <w:r>
        <w:rPr>
          <w:rFonts w:hint="eastAsia"/>
          <w:b/>
          <w:bCs/>
          <w:spacing w:val="9"/>
          <w:lang w:eastAsia="zh-CN"/>
        </w:rPr>
        <w:t xml:space="preserve"> 北京展慧保信息科技有限公司</w:t>
      </w:r>
      <w:r>
        <w:rPr>
          <w:b/>
          <w:bCs/>
          <w:spacing w:val="9"/>
          <w:lang w:eastAsia="zh-CN"/>
        </w:rPr>
        <w:t>(简称:</w:t>
      </w:r>
      <w:r>
        <w:rPr>
          <w:rFonts w:hint="eastAsia"/>
          <w:b/>
          <w:bCs/>
          <w:spacing w:val="9"/>
          <w:lang w:eastAsia="zh-CN"/>
        </w:rPr>
        <w:t>展慧保</w:t>
      </w:r>
      <w:r>
        <w:rPr>
          <w:b/>
          <w:bCs/>
          <w:spacing w:val="9"/>
          <w:lang w:eastAsia="zh-CN"/>
        </w:rPr>
        <w:t>)</w:t>
      </w:r>
      <w:r>
        <w:rPr>
          <w:rFonts w:hint="eastAsia"/>
          <w:b/>
          <w:bCs/>
          <w:spacing w:val="9"/>
          <w:lang w:eastAsia="zh-CN"/>
        </w:rPr>
        <w:t xml:space="preserve"> </w:t>
      </w:r>
      <w:r>
        <w:rPr>
          <w:b/>
          <w:bCs/>
          <w:spacing w:val="9"/>
          <w:lang w:eastAsia="zh-CN"/>
        </w:rPr>
        <w:t>对所有展台搭建总高度 4.5M</w:t>
      </w:r>
      <w:r>
        <w:rPr>
          <w:rFonts w:hint="eastAsia"/>
          <w:b/>
          <w:bCs/>
          <w:spacing w:val="9"/>
          <w:lang w:eastAsia="zh-CN"/>
        </w:rPr>
        <w:t>（不含）</w:t>
      </w:r>
      <w:r>
        <w:rPr>
          <w:b/>
          <w:bCs/>
          <w:spacing w:val="9"/>
          <w:lang w:eastAsia="zh-CN"/>
        </w:rPr>
        <w:t>以下的特装展台进行审图及布撤</w:t>
      </w:r>
      <w:r>
        <w:rPr>
          <w:b/>
          <w:bCs/>
          <w:spacing w:val="8"/>
          <w:lang w:eastAsia="zh-CN"/>
        </w:rPr>
        <w:t>展现场施工安全巡查监管工作。一经审核通过，</w:t>
      </w:r>
      <w:r>
        <w:rPr>
          <w:rFonts w:hint="eastAsia"/>
          <w:b/>
          <w:bCs/>
          <w:spacing w:val="9"/>
          <w:lang w:eastAsia="zh-CN"/>
        </w:rPr>
        <w:t>展慧保</w:t>
      </w:r>
      <w:r>
        <w:rPr>
          <w:b/>
          <w:bCs/>
          <w:spacing w:val="8"/>
          <w:lang w:eastAsia="zh-CN"/>
        </w:rPr>
        <w:t>将出具《光地(特装)展台</w:t>
      </w:r>
      <w:r>
        <w:rPr>
          <w:rFonts w:hint="eastAsia"/>
          <w:b/>
          <w:bCs/>
          <w:spacing w:val="8"/>
          <w:lang w:eastAsia="zh-CN"/>
        </w:rPr>
        <w:t>图纸审核意见书</w:t>
      </w:r>
      <w:r>
        <w:rPr>
          <w:b/>
          <w:bCs/>
          <w:spacing w:val="8"/>
          <w:lang w:eastAsia="zh-CN"/>
        </w:rPr>
        <w:t>》，参展商/搭建商须将《光地(特装)展台</w:t>
      </w:r>
      <w:r>
        <w:rPr>
          <w:rFonts w:hint="eastAsia"/>
          <w:b/>
          <w:bCs/>
          <w:spacing w:val="8"/>
          <w:lang w:eastAsia="zh-CN"/>
        </w:rPr>
        <w:t>图纸审核意见书</w:t>
      </w:r>
      <w:r>
        <w:rPr>
          <w:b/>
          <w:bCs/>
          <w:spacing w:val="8"/>
          <w:lang w:eastAsia="zh-CN"/>
        </w:rPr>
        <w:t>》</w:t>
      </w:r>
      <w:r>
        <w:rPr>
          <w:b/>
          <w:bCs/>
          <w:lang w:eastAsia="zh-CN"/>
        </w:rPr>
        <w:t xml:space="preserve"> </w:t>
      </w:r>
      <w:r>
        <w:rPr>
          <w:b/>
          <w:bCs/>
          <w:spacing w:val="8"/>
          <w:lang w:eastAsia="zh-CN"/>
        </w:rPr>
        <w:t>及效果图传给主场搭建以便完成其余报馆事宜。</w:t>
      </w:r>
    </w:p>
    <w:p w14:paraId="0A0EEDD7">
      <w:pPr>
        <w:pStyle w:val="2"/>
        <w:spacing w:before="169" w:line="203" w:lineRule="auto"/>
        <w:ind w:left="290"/>
        <w:rPr>
          <w:lang w:eastAsia="zh-CN"/>
        </w:rPr>
      </w:pPr>
      <w:r>
        <w:rPr>
          <w:rFonts w:hint="eastAsia"/>
          <w:b/>
          <w:bCs/>
          <w:spacing w:val="9"/>
          <w:lang w:eastAsia="zh-CN"/>
        </w:rPr>
        <w:t>展慧保</w:t>
      </w:r>
      <w:r>
        <w:rPr>
          <w:b/>
          <w:bCs/>
          <w:spacing w:val="9"/>
          <w:lang w:eastAsia="zh-CN"/>
        </w:rPr>
        <w:t>提供展会的线上报图</w:t>
      </w:r>
      <w:r>
        <w:rPr>
          <w:rFonts w:hint="eastAsia"/>
          <w:b/>
          <w:bCs/>
          <w:spacing w:val="9"/>
          <w:lang w:eastAsia="zh-CN"/>
        </w:rPr>
        <w:t>、图纸审查</w:t>
      </w:r>
      <w:r>
        <w:rPr>
          <w:b/>
          <w:bCs/>
          <w:spacing w:val="9"/>
          <w:lang w:eastAsia="zh-CN"/>
        </w:rPr>
        <w:t>服务及收费系统</w:t>
      </w:r>
      <w:r>
        <w:rPr>
          <w:rFonts w:hint="eastAsia"/>
          <w:b/>
          <w:bCs/>
          <w:spacing w:val="9"/>
          <w:lang w:eastAsia="zh-CN"/>
        </w:rPr>
        <w:t>，</w:t>
      </w:r>
      <w:r>
        <w:rPr>
          <w:b/>
          <w:bCs/>
          <w:spacing w:val="9"/>
          <w:lang w:eastAsia="zh-CN"/>
        </w:rPr>
        <w:t>确保展位设计合乎相关法律法规规定的安全要求，并按《图纸审核要求》进行审图:</w:t>
      </w:r>
    </w:p>
    <w:p w14:paraId="06859A39">
      <w:pPr>
        <w:pStyle w:val="2"/>
        <w:spacing w:before="211" w:line="205" w:lineRule="auto"/>
        <w:ind w:left="373"/>
        <w:outlineLvl w:val="1"/>
        <w:rPr>
          <w:lang w:eastAsia="zh-CN"/>
        </w:rPr>
      </w:pPr>
      <w:r>
        <w:rPr>
          <w:b/>
          <w:bCs/>
          <w:spacing w:val="4"/>
          <w:lang w:eastAsia="zh-CN"/>
        </w:rPr>
        <w:t>1、</w:t>
      </w:r>
      <w:r>
        <w:rPr>
          <w:b/>
          <w:bCs/>
          <w:spacing w:val="9"/>
          <w:w w:val="102"/>
          <w:lang w:eastAsia="zh-CN"/>
        </w:rPr>
        <w:t xml:space="preserve">   </w:t>
      </w:r>
      <w:r>
        <w:rPr>
          <w:b/>
          <w:bCs/>
          <w:spacing w:val="4"/>
          <w:lang w:eastAsia="zh-CN"/>
        </w:rPr>
        <w:t>送审要求：</w:t>
      </w:r>
    </w:p>
    <w:p w14:paraId="56C90417">
      <w:pPr>
        <w:pStyle w:val="2"/>
        <w:spacing w:before="50" w:line="189" w:lineRule="auto"/>
        <w:ind w:left="730"/>
        <w:rPr>
          <w:lang w:eastAsia="zh-CN"/>
        </w:rPr>
      </w:pPr>
      <w:r>
        <w:rPr>
          <w:spacing w:val="9"/>
          <w:lang w:eastAsia="zh-CN"/>
        </w:rPr>
        <w:t xml:space="preserve">(1)   </w:t>
      </w:r>
      <w:r>
        <w:rPr>
          <w:rFonts w:hint="eastAsia"/>
          <w:spacing w:val="9"/>
          <w:lang w:eastAsia="zh-CN"/>
        </w:rPr>
        <w:t>展慧保</w:t>
      </w:r>
      <w:r>
        <w:rPr>
          <w:spacing w:val="9"/>
          <w:lang w:eastAsia="zh-CN"/>
        </w:rPr>
        <w:t>线上</w:t>
      </w:r>
      <w:r>
        <w:rPr>
          <w:rFonts w:hint="eastAsia"/>
          <w:spacing w:val="9"/>
          <w:lang w:eastAsia="zh-CN"/>
        </w:rPr>
        <w:t>图纸报审</w:t>
      </w:r>
      <w:r>
        <w:rPr>
          <w:spacing w:val="9"/>
          <w:lang w:eastAsia="zh-CN"/>
        </w:rPr>
        <w:t xml:space="preserve">系统网址为 </w:t>
      </w:r>
      <w:r>
        <w:fldChar w:fldCharType="begin"/>
      </w:r>
      <w:r>
        <w:instrText xml:space="preserve"> HYPERLINK "http://zzxc.portal.shunzhanyun.com/" </w:instrText>
      </w:r>
      <w:r>
        <w:fldChar w:fldCharType="separate"/>
      </w:r>
      <w:r>
        <w:rPr>
          <w:rStyle w:val="8"/>
          <w:rFonts w:hint="eastAsia"/>
          <w:u w:val="none"/>
          <w:lang w:eastAsia="zh-CN"/>
        </w:rPr>
        <w:t>http://zzxc.portal.shunzhanyun.com/</w:t>
      </w:r>
      <w:r>
        <w:rPr>
          <w:rStyle w:val="8"/>
          <w:rFonts w:hint="eastAsia"/>
          <w:u w:val="none"/>
          <w:lang w:eastAsia="zh-CN"/>
        </w:rPr>
        <w:fldChar w:fldCharType="end"/>
      </w:r>
      <w:r>
        <w:rPr>
          <w:spacing w:val="9"/>
          <w:lang w:eastAsia="zh-CN"/>
        </w:rPr>
        <w:t>，</w:t>
      </w:r>
      <w:r>
        <w:rPr>
          <w:rFonts w:hint="eastAsia"/>
          <w:spacing w:val="9"/>
          <w:lang w:eastAsia="zh-CN"/>
        </w:rPr>
        <w:t>首次登陆需按要求注册账号及密码登陆图纸报审系统</w:t>
      </w:r>
      <w:r>
        <w:rPr>
          <w:spacing w:val="9"/>
          <w:lang w:eastAsia="zh-CN"/>
        </w:rPr>
        <w:t>。</w:t>
      </w:r>
    </w:p>
    <w:p w14:paraId="0D7EA282">
      <w:pPr>
        <w:pStyle w:val="2"/>
        <w:spacing w:before="64" w:line="200" w:lineRule="auto"/>
        <w:ind w:left="730"/>
        <w:rPr>
          <w:lang w:eastAsia="zh-CN"/>
        </w:rPr>
      </w:pPr>
      <w:r>
        <w:rPr>
          <w:snapToGrid/>
          <w:spacing w:val="8"/>
          <w:lang w:eastAsia="zh-CN"/>
        </w:rPr>
        <w:drawing>
          <wp:anchor distT="0" distB="0" distL="114300" distR="114300" simplePos="0" relativeHeight="251659264" behindDoc="0" locked="0" layoutInCell="1" allowOverlap="1">
            <wp:simplePos x="0" y="0"/>
            <wp:positionH relativeFrom="margin">
              <wp:posOffset>3730625</wp:posOffset>
            </wp:positionH>
            <wp:positionV relativeFrom="margin">
              <wp:posOffset>2883535</wp:posOffset>
            </wp:positionV>
            <wp:extent cx="630555" cy="630555"/>
            <wp:effectExtent l="0" t="0" r="4445" b="4445"/>
            <wp:wrapSquare wrapText="bothSides"/>
            <wp:docPr id="14426595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59526" name="图片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0555" cy="630555"/>
                    </a:xfrm>
                    <a:prstGeom prst="rect">
                      <a:avLst/>
                    </a:prstGeom>
                  </pic:spPr>
                </pic:pic>
              </a:graphicData>
            </a:graphic>
          </wp:anchor>
        </w:drawing>
      </w:r>
      <w:r>
        <w:rPr>
          <w:spacing w:val="6"/>
          <w:lang w:eastAsia="zh-CN"/>
        </w:rPr>
        <w:t xml:space="preserve">(2)    </w:t>
      </w:r>
      <w:r>
        <w:rPr>
          <w:rFonts w:hint="eastAsia"/>
          <w:spacing w:val="9"/>
          <w:lang w:eastAsia="zh-CN"/>
        </w:rPr>
        <w:t>展慧保</w:t>
      </w:r>
      <w:r>
        <w:rPr>
          <w:spacing w:val="6"/>
          <w:lang w:eastAsia="zh-CN"/>
        </w:rPr>
        <w:t>线上报图截止日期为</w:t>
      </w:r>
      <w:r>
        <w:rPr>
          <w:color w:val="FF0000"/>
          <w:spacing w:val="6"/>
          <w:lang w:eastAsia="zh-CN"/>
        </w:rPr>
        <w:t xml:space="preserve"> 202</w:t>
      </w:r>
      <w:r>
        <w:rPr>
          <w:rFonts w:hint="eastAsia"/>
          <w:color w:val="FF0000"/>
          <w:spacing w:val="6"/>
          <w:lang w:val="en-US" w:eastAsia="zh-CN"/>
        </w:rPr>
        <w:t>6</w:t>
      </w:r>
      <w:r>
        <w:rPr>
          <w:color w:val="FF0000"/>
          <w:spacing w:val="6"/>
          <w:lang w:eastAsia="zh-CN"/>
        </w:rPr>
        <w:t xml:space="preserve"> 年</w:t>
      </w:r>
      <w:r>
        <w:rPr>
          <w:rFonts w:hint="eastAsia"/>
          <w:color w:val="FF0000"/>
          <w:spacing w:val="6"/>
          <w:lang w:val="en-US" w:eastAsia="zh-CN"/>
        </w:rPr>
        <w:t>9</w:t>
      </w:r>
      <w:r>
        <w:rPr>
          <w:color w:val="FF0000"/>
          <w:spacing w:val="6"/>
          <w:lang w:eastAsia="zh-CN"/>
        </w:rPr>
        <w:t>月</w:t>
      </w:r>
      <w:r>
        <w:rPr>
          <w:rFonts w:hint="eastAsia"/>
          <w:color w:val="FF0000"/>
          <w:spacing w:val="6"/>
          <w:lang w:val="en-US" w:eastAsia="zh-CN"/>
        </w:rPr>
        <w:t>1</w:t>
      </w:r>
      <w:r>
        <w:rPr>
          <w:color w:val="FF0000"/>
          <w:spacing w:val="6"/>
          <w:lang w:eastAsia="zh-CN"/>
        </w:rPr>
        <w:t>日</w:t>
      </w:r>
      <w:r>
        <w:rPr>
          <w:rFonts w:hint="eastAsia"/>
          <w:spacing w:val="6"/>
          <w:lang w:eastAsia="zh-CN"/>
        </w:rPr>
        <w:t>，</w:t>
      </w:r>
      <w:r>
        <w:rPr>
          <w:spacing w:val="6"/>
          <w:lang w:eastAsia="zh-CN"/>
        </w:rPr>
        <w:t>逾期</w:t>
      </w:r>
      <w:r>
        <w:rPr>
          <w:rFonts w:hint="eastAsia"/>
          <w:spacing w:val="6"/>
          <w:lang w:eastAsia="zh-CN"/>
        </w:rPr>
        <w:t>加收5</w:t>
      </w:r>
      <w:r>
        <w:rPr>
          <w:spacing w:val="6"/>
          <w:lang w:eastAsia="zh-CN"/>
        </w:rPr>
        <w:t>0%</w:t>
      </w:r>
      <w:r>
        <w:rPr>
          <w:rFonts w:hint="eastAsia"/>
          <w:spacing w:val="6"/>
          <w:lang w:eastAsia="zh-CN"/>
        </w:rPr>
        <w:t>的审图费。</w:t>
      </w:r>
    </w:p>
    <w:p w14:paraId="4EECEEEE">
      <w:pPr>
        <w:pStyle w:val="2"/>
        <w:spacing w:before="54" w:line="200" w:lineRule="auto"/>
        <w:ind w:left="730"/>
        <w:rPr>
          <w:lang w:eastAsia="zh-CN"/>
        </w:rPr>
      </w:pPr>
      <w:r>
        <w:rPr>
          <w:spacing w:val="7"/>
          <w:lang w:eastAsia="zh-CN"/>
        </w:rPr>
        <w:t>(3)</w:t>
      </w:r>
      <w:r>
        <w:rPr>
          <w:spacing w:val="1"/>
          <w:lang w:eastAsia="zh-CN"/>
        </w:rPr>
        <w:t xml:space="preserve">     </w:t>
      </w:r>
      <w:r>
        <w:rPr>
          <w:spacing w:val="7"/>
          <w:lang w:eastAsia="zh-CN"/>
        </w:rPr>
        <w:t xml:space="preserve">图纸必须为 </w:t>
      </w:r>
      <w:r>
        <w:rPr>
          <w:rFonts w:hint="eastAsia"/>
          <w:lang w:eastAsia="zh-CN"/>
        </w:rPr>
        <w:t>PDF</w:t>
      </w:r>
      <w:r>
        <w:rPr>
          <w:spacing w:val="7"/>
          <w:lang w:eastAsia="zh-CN"/>
        </w:rPr>
        <w:t xml:space="preserve"> 格式</w:t>
      </w:r>
      <w:r>
        <w:rPr>
          <w:rFonts w:hint="eastAsia"/>
          <w:spacing w:val="7"/>
          <w:lang w:eastAsia="zh-CN"/>
        </w:rPr>
        <w:t>，</w:t>
      </w:r>
      <w:r>
        <w:rPr>
          <w:spacing w:val="7"/>
          <w:lang w:eastAsia="zh-CN"/>
        </w:rPr>
        <w:t>单</w:t>
      </w:r>
      <w:r>
        <w:rPr>
          <w:rFonts w:hint="eastAsia"/>
          <w:spacing w:val="7"/>
          <w:lang w:eastAsia="zh-CN"/>
        </w:rPr>
        <w:t>份文件</w:t>
      </w:r>
      <w:r>
        <w:rPr>
          <w:spacing w:val="7"/>
          <w:lang w:eastAsia="zh-CN"/>
        </w:rPr>
        <w:t xml:space="preserve">大小不得超过 </w:t>
      </w:r>
      <w:r>
        <w:rPr>
          <w:rFonts w:hint="eastAsia"/>
          <w:spacing w:val="7"/>
          <w:lang w:eastAsia="zh-CN"/>
        </w:rPr>
        <w:t>10</w:t>
      </w:r>
      <w:r>
        <w:rPr>
          <w:spacing w:val="7"/>
          <w:lang w:eastAsia="zh-CN"/>
        </w:rPr>
        <w:t>M</w:t>
      </w:r>
      <w:r>
        <w:rPr>
          <w:rFonts w:hint="eastAsia"/>
          <w:spacing w:val="7"/>
          <w:lang w:eastAsia="zh-CN"/>
        </w:rPr>
        <w:t>且文件数量不多于2份</w:t>
      </w:r>
      <w:r>
        <w:rPr>
          <w:spacing w:val="7"/>
          <w:lang w:eastAsia="zh-CN"/>
        </w:rPr>
        <w:t>。</w:t>
      </w:r>
    </w:p>
    <w:p w14:paraId="29152226">
      <w:pPr>
        <w:pStyle w:val="2"/>
        <w:spacing w:before="53" w:line="191" w:lineRule="auto"/>
        <w:ind w:left="730"/>
        <w:rPr>
          <w:spacing w:val="8"/>
          <w:lang w:eastAsia="zh-CN"/>
        </w:rPr>
      </w:pPr>
      <w:r>
        <w:rPr>
          <w:spacing w:val="8"/>
          <w:lang w:eastAsia="zh-CN"/>
        </w:rPr>
        <w:t xml:space="preserve">(4)    </w:t>
      </w:r>
      <w:r>
        <w:rPr>
          <w:rFonts w:hint="eastAsia"/>
          <w:spacing w:val="9"/>
          <w:lang w:eastAsia="zh-CN"/>
        </w:rPr>
        <w:t>展慧保</w:t>
      </w:r>
      <w:r>
        <w:rPr>
          <w:spacing w:val="8"/>
          <w:lang w:eastAsia="zh-CN"/>
        </w:rPr>
        <w:t>审图咨询联系方式：</w:t>
      </w:r>
      <w:r>
        <w:rPr>
          <w:rFonts w:hint="eastAsia"/>
          <w:spacing w:val="8"/>
          <w:lang w:eastAsia="zh-CN"/>
        </w:rPr>
        <w:t>4</w:t>
      </w:r>
      <w:r>
        <w:rPr>
          <w:spacing w:val="8"/>
          <w:lang w:eastAsia="zh-CN"/>
        </w:rPr>
        <w:t>00-6699-628</w:t>
      </w:r>
      <w:r>
        <w:rPr>
          <w:rFonts w:hint="eastAsia"/>
          <w:spacing w:val="8"/>
          <w:lang w:val="en-US" w:eastAsia="zh-CN"/>
        </w:rPr>
        <w:t xml:space="preserve">   </w:t>
      </w:r>
      <w:r>
        <w:rPr>
          <w:rFonts w:hint="eastAsia"/>
          <w:spacing w:val="8"/>
          <w:lang w:eastAsia="zh-CN"/>
        </w:rPr>
        <w:t>焦工，王工</w:t>
      </w:r>
    </w:p>
    <w:p w14:paraId="5FD61B5A">
      <w:pPr>
        <w:pStyle w:val="2"/>
        <w:spacing w:before="64" w:line="205" w:lineRule="auto"/>
        <w:ind w:left="367"/>
        <w:outlineLvl w:val="1"/>
        <w:rPr>
          <w:b/>
          <w:bCs/>
          <w:spacing w:val="7"/>
          <w:lang w:eastAsia="zh-CN"/>
        </w:rPr>
      </w:pPr>
      <w:r>
        <w:rPr>
          <w:b/>
          <w:bCs/>
          <w:spacing w:val="7"/>
          <w:lang w:eastAsia="zh-CN"/>
        </w:rPr>
        <w:t>2、</w:t>
      </w:r>
      <w:r>
        <w:rPr>
          <w:b/>
          <w:bCs/>
          <w:spacing w:val="11"/>
          <w:lang w:eastAsia="zh-CN"/>
        </w:rPr>
        <w:t xml:space="preserve">   </w:t>
      </w:r>
      <w:r>
        <w:rPr>
          <w:b/>
          <w:bCs/>
          <w:spacing w:val="7"/>
          <w:lang w:eastAsia="zh-CN"/>
        </w:rPr>
        <w:t>需送审的文件资料如下:</w:t>
      </w:r>
      <w:bookmarkStart w:id="0" w:name="_GoBack"/>
      <w:bookmarkEnd w:id="0"/>
    </w:p>
    <w:p w14:paraId="7761E0FA">
      <w:pPr>
        <w:pStyle w:val="2"/>
        <w:spacing w:before="54" w:line="200" w:lineRule="auto"/>
        <w:ind w:left="730"/>
        <w:rPr>
          <w:spacing w:val="8"/>
          <w:lang w:eastAsia="zh-CN"/>
        </w:rPr>
      </w:pPr>
      <w:r>
        <w:rPr>
          <w:rFonts w:hint="eastAsia"/>
          <w:spacing w:val="8"/>
          <w:lang w:eastAsia="zh-CN"/>
        </w:rPr>
        <w:t>(1)展位位置平面图，需体现周边相邻展位；</w:t>
      </w:r>
    </w:p>
    <w:p w14:paraId="08548A5E">
      <w:pPr>
        <w:pStyle w:val="2"/>
        <w:spacing w:before="54" w:line="200" w:lineRule="auto"/>
        <w:ind w:left="730"/>
        <w:rPr>
          <w:spacing w:val="8"/>
          <w:lang w:eastAsia="zh-CN"/>
        </w:rPr>
      </w:pPr>
      <w:r>
        <w:rPr>
          <w:rFonts w:hint="eastAsia"/>
          <w:spacing w:val="8"/>
          <w:lang w:eastAsia="zh-CN"/>
        </w:rPr>
        <w:t>(2)带尺寸网格线的展位侧视、顶视图，展位高度需低于4.5米；</w:t>
      </w:r>
    </w:p>
    <w:p w14:paraId="79E18DF6">
      <w:pPr>
        <w:pStyle w:val="2"/>
        <w:spacing w:before="54" w:line="200" w:lineRule="auto"/>
        <w:ind w:left="730"/>
        <w:rPr>
          <w:spacing w:val="8"/>
          <w:lang w:eastAsia="zh-CN"/>
        </w:rPr>
      </w:pPr>
      <w:r>
        <w:rPr>
          <w:rFonts w:hint="eastAsia"/>
          <w:spacing w:val="8"/>
          <w:lang w:eastAsia="zh-CN"/>
        </w:rPr>
        <w:t>(3)带详细标注的效果图，包含但不限于：材质、防火等级、背板厚度等；所有装修材料必须采用不燃或阻燃材料,</w:t>
      </w:r>
      <w:r>
        <w:rPr>
          <w:spacing w:val="8"/>
          <w:lang w:eastAsia="zh-CN"/>
        </w:rPr>
        <w:t>木结构装置必须涂上防火涂料</w:t>
      </w:r>
      <w:r>
        <w:rPr>
          <w:rFonts w:hint="eastAsia"/>
          <w:spacing w:val="8"/>
          <w:lang w:eastAsia="zh-CN"/>
        </w:rPr>
        <w:t>。</w:t>
      </w:r>
    </w:p>
    <w:p w14:paraId="692E8CFE">
      <w:pPr>
        <w:pStyle w:val="2"/>
        <w:spacing w:before="54" w:line="200" w:lineRule="auto"/>
        <w:ind w:left="730"/>
        <w:rPr>
          <w:spacing w:val="8"/>
          <w:lang w:eastAsia="zh-CN"/>
        </w:rPr>
      </w:pPr>
      <w:r>
        <w:rPr>
          <w:rFonts w:hint="eastAsia"/>
          <w:spacing w:val="8"/>
          <w:lang w:eastAsia="zh-CN"/>
        </w:rPr>
        <w:t>(4)带尺寸的展位结构图，包含但不限于：结构材质、尺寸厚度、型材厚度、节点连接方式、节点大样等；</w:t>
      </w:r>
    </w:p>
    <w:p w14:paraId="72958B08">
      <w:pPr>
        <w:pStyle w:val="2"/>
        <w:spacing w:before="54" w:line="200" w:lineRule="auto"/>
        <w:ind w:left="730"/>
        <w:rPr>
          <w:spacing w:val="8"/>
          <w:lang w:eastAsia="zh-CN"/>
        </w:rPr>
      </w:pPr>
      <w:r>
        <w:rPr>
          <w:rFonts w:hint="eastAsia"/>
          <w:spacing w:val="8"/>
          <w:lang w:eastAsia="zh-CN"/>
        </w:rPr>
        <w:t>(5)消防及电气布置图，配电系统图</w:t>
      </w:r>
      <w:r>
        <w:rPr>
          <w:spacing w:val="9"/>
          <w:lang w:eastAsia="zh-CN"/>
        </w:rPr>
        <w:t>（注明展台的总配电箱位置、灯具的种类、功率和安装位置、高度</w:t>
      </w:r>
      <w:r>
        <w:rPr>
          <w:spacing w:val="-28"/>
          <w:w w:val="92"/>
          <w:lang w:eastAsia="zh-CN"/>
        </w:rPr>
        <w:t>）</w:t>
      </w:r>
      <w:r>
        <w:rPr>
          <w:rFonts w:hint="eastAsia"/>
          <w:spacing w:val="8"/>
          <w:lang w:eastAsia="zh-CN"/>
        </w:rPr>
        <w:t>。</w:t>
      </w:r>
    </w:p>
    <w:p w14:paraId="221C6052">
      <w:pPr>
        <w:pStyle w:val="2"/>
        <w:spacing w:before="54" w:line="200" w:lineRule="auto"/>
        <w:ind w:left="730"/>
        <w:rPr>
          <w:lang w:eastAsia="zh-CN"/>
        </w:rPr>
      </w:pPr>
      <w:r>
        <w:rPr>
          <w:spacing w:val="3"/>
          <w:lang w:eastAsia="zh-CN"/>
        </w:rPr>
        <w:t>(</w:t>
      </w:r>
      <w:r>
        <w:rPr>
          <w:rFonts w:hint="eastAsia"/>
          <w:spacing w:val="3"/>
          <w:lang w:eastAsia="zh-CN"/>
        </w:rPr>
        <w:t>6</w:t>
      </w:r>
      <w:r>
        <w:rPr>
          <w:spacing w:val="3"/>
          <w:lang w:eastAsia="zh-CN"/>
        </w:rPr>
        <w:t>)</w:t>
      </w:r>
      <w:r>
        <w:rPr>
          <w:rFonts w:hint="eastAsia"/>
          <w:spacing w:val="3"/>
          <w:lang w:eastAsia="zh-CN"/>
        </w:rPr>
        <w:t>如采用</w:t>
      </w:r>
      <w:r>
        <w:rPr>
          <w:spacing w:val="3"/>
          <w:lang w:eastAsia="zh-CN"/>
        </w:rPr>
        <w:t>地毯</w:t>
      </w:r>
      <w:r>
        <w:rPr>
          <w:rFonts w:hint="eastAsia"/>
          <w:spacing w:val="3"/>
          <w:lang w:eastAsia="zh-CN"/>
        </w:rPr>
        <w:t>需提供地毯防火</w:t>
      </w:r>
      <w:r>
        <w:rPr>
          <w:spacing w:val="3"/>
          <w:lang w:eastAsia="zh-CN"/>
        </w:rPr>
        <w:t>检测报告</w:t>
      </w:r>
      <w:r>
        <w:rPr>
          <w:rFonts w:hint="eastAsia"/>
          <w:spacing w:val="3"/>
          <w:lang w:eastAsia="zh-CN"/>
        </w:rPr>
        <w:t>（不低于B1级），不得采用仿真绿植等易燃装饰物</w:t>
      </w:r>
      <w:r>
        <w:rPr>
          <w:spacing w:val="3"/>
          <w:lang w:eastAsia="zh-CN"/>
        </w:rPr>
        <w:t>。</w:t>
      </w:r>
    </w:p>
    <w:p w14:paraId="6BE59675">
      <w:pPr>
        <w:pStyle w:val="2"/>
        <w:spacing w:before="54" w:line="204" w:lineRule="auto"/>
        <w:ind w:left="371"/>
        <w:outlineLvl w:val="1"/>
        <w:rPr>
          <w:lang w:eastAsia="zh-CN"/>
        </w:rPr>
      </w:pPr>
      <w:r>
        <w:rPr>
          <w:b/>
          <w:bCs/>
          <w:spacing w:val="4"/>
          <w:lang w:eastAsia="zh-CN"/>
        </w:rPr>
        <w:t>3、</w:t>
      </w:r>
      <w:r>
        <w:rPr>
          <w:b/>
          <w:bCs/>
          <w:spacing w:val="10"/>
          <w:lang w:eastAsia="zh-CN"/>
        </w:rPr>
        <w:t xml:space="preserve">   </w:t>
      </w:r>
      <w:r>
        <w:rPr>
          <w:b/>
          <w:bCs/>
          <w:spacing w:val="4"/>
          <w:lang w:eastAsia="zh-CN"/>
        </w:rPr>
        <w:t>注意事项：</w:t>
      </w:r>
    </w:p>
    <w:p w14:paraId="3158B9FB">
      <w:pPr>
        <w:pStyle w:val="2"/>
        <w:spacing w:before="50" w:line="200" w:lineRule="auto"/>
        <w:ind w:left="730"/>
        <w:rPr>
          <w:lang w:eastAsia="zh-CN"/>
        </w:rPr>
      </w:pPr>
      <w:r>
        <w:rPr>
          <w:spacing w:val="6"/>
          <w:lang w:eastAsia="zh-CN"/>
        </w:rPr>
        <w:t>(1)    参展商/搭建商</w:t>
      </w:r>
      <w:r>
        <w:rPr>
          <w:rFonts w:hint="eastAsia"/>
          <w:spacing w:val="6"/>
          <w:lang w:eastAsia="zh-CN"/>
        </w:rPr>
        <w:t>认领展位后</w:t>
      </w:r>
      <w:r>
        <w:rPr>
          <w:spacing w:val="6"/>
          <w:lang w:eastAsia="zh-CN"/>
        </w:rPr>
        <w:t xml:space="preserve"> 须</w:t>
      </w:r>
      <w:r>
        <w:rPr>
          <w:rFonts w:hint="eastAsia"/>
          <w:spacing w:val="6"/>
          <w:lang w:eastAsia="zh-CN"/>
        </w:rPr>
        <w:t>尽快</w:t>
      </w:r>
      <w:r>
        <w:rPr>
          <w:spacing w:val="6"/>
          <w:lang w:eastAsia="zh-CN"/>
        </w:rPr>
        <w:t>完成付</w:t>
      </w:r>
      <w:r>
        <w:rPr>
          <w:spacing w:val="5"/>
          <w:lang w:eastAsia="zh-CN"/>
        </w:rPr>
        <w:t>款。</w:t>
      </w:r>
    </w:p>
    <w:p w14:paraId="4522E6A1">
      <w:pPr>
        <w:pStyle w:val="2"/>
        <w:spacing w:before="54" w:line="200" w:lineRule="auto"/>
        <w:ind w:left="730"/>
        <w:rPr>
          <w:lang w:eastAsia="zh-CN"/>
        </w:rPr>
      </w:pPr>
      <w:r>
        <w:rPr>
          <w:spacing w:val="8"/>
          <w:lang w:eastAsia="zh-CN"/>
        </w:rPr>
        <w:t xml:space="preserve">(2)    </w:t>
      </w:r>
      <w:r>
        <w:rPr>
          <w:rFonts w:hint="eastAsia"/>
          <w:spacing w:val="8"/>
          <w:lang w:eastAsia="zh-CN"/>
        </w:rPr>
        <w:t>付款完成后展慧保</w:t>
      </w:r>
      <w:r>
        <w:rPr>
          <w:spacing w:val="8"/>
          <w:lang w:eastAsia="zh-CN"/>
        </w:rPr>
        <w:t xml:space="preserve">将于 </w:t>
      </w:r>
      <w:r>
        <w:rPr>
          <w:b/>
          <w:bCs/>
          <w:spacing w:val="8"/>
          <w:lang w:eastAsia="zh-CN"/>
        </w:rPr>
        <w:t xml:space="preserve">5 个工作日内 </w:t>
      </w:r>
      <w:r>
        <w:rPr>
          <w:spacing w:val="8"/>
          <w:lang w:eastAsia="zh-CN"/>
        </w:rPr>
        <w:t>以电邮方式回复有关展位设计图是否审核通过，如在此日期内未收到回复，可咨询</w:t>
      </w:r>
      <w:r>
        <w:rPr>
          <w:rFonts w:hint="eastAsia"/>
          <w:spacing w:val="8"/>
          <w:lang w:eastAsia="zh-CN"/>
        </w:rPr>
        <w:t>展慧保</w:t>
      </w:r>
      <w:r>
        <w:rPr>
          <w:spacing w:val="8"/>
          <w:lang w:eastAsia="zh-CN"/>
        </w:rPr>
        <w:t>。</w:t>
      </w:r>
    </w:p>
    <w:p w14:paraId="20804E8B">
      <w:pPr>
        <w:pStyle w:val="2"/>
        <w:spacing w:before="57" w:line="200" w:lineRule="auto"/>
        <w:ind w:left="730"/>
        <w:rPr>
          <w:lang w:eastAsia="zh-CN"/>
        </w:rPr>
      </w:pPr>
      <w:r>
        <w:rPr>
          <w:spacing w:val="7"/>
          <w:lang w:eastAsia="zh-CN"/>
        </w:rPr>
        <w:t>(3)    通过审核和已清缴审图费的展台才会</w:t>
      </w:r>
      <w:r>
        <w:rPr>
          <w:rFonts w:hint="eastAsia"/>
          <w:spacing w:val="7"/>
          <w:lang w:eastAsia="zh-CN"/>
        </w:rPr>
        <w:t>收到展慧保</w:t>
      </w:r>
      <w:r>
        <w:rPr>
          <w:spacing w:val="7"/>
          <w:lang w:eastAsia="zh-CN"/>
        </w:rPr>
        <w:t>发出的《</w:t>
      </w:r>
      <w:r>
        <w:rPr>
          <w:b/>
          <w:bCs/>
          <w:spacing w:val="8"/>
          <w:lang w:eastAsia="zh-CN"/>
        </w:rPr>
        <w:t>光地(特装)展台</w:t>
      </w:r>
      <w:r>
        <w:rPr>
          <w:rFonts w:hint="eastAsia"/>
          <w:b/>
          <w:bCs/>
          <w:spacing w:val="8"/>
          <w:lang w:eastAsia="zh-CN"/>
        </w:rPr>
        <w:t>图纸审核意见书</w:t>
      </w:r>
      <w:r>
        <w:rPr>
          <w:spacing w:val="7"/>
          <w:lang w:eastAsia="zh-CN"/>
        </w:rPr>
        <w:t>》。</w:t>
      </w:r>
    </w:p>
    <w:p w14:paraId="3F845AE6">
      <w:pPr>
        <w:pStyle w:val="2"/>
        <w:spacing w:before="54" w:line="200" w:lineRule="auto"/>
        <w:ind w:left="730"/>
        <w:rPr>
          <w:lang w:eastAsia="zh-CN"/>
        </w:rPr>
      </w:pPr>
      <w:r>
        <w:rPr>
          <w:spacing w:val="8"/>
          <w:lang w:eastAsia="zh-CN"/>
        </w:rPr>
        <w:t>(4)    未经审核的展台设计图，展会现场不允许</w:t>
      </w:r>
      <w:r>
        <w:rPr>
          <w:spacing w:val="7"/>
          <w:lang w:eastAsia="zh-CN"/>
        </w:rPr>
        <w:t>搭建。</w:t>
      </w:r>
    </w:p>
    <w:p w14:paraId="1DF2D509">
      <w:pPr>
        <w:pStyle w:val="2"/>
        <w:spacing w:before="54" w:line="205" w:lineRule="auto"/>
        <w:ind w:left="362"/>
        <w:outlineLvl w:val="1"/>
        <w:rPr>
          <w:lang w:eastAsia="zh-CN"/>
        </w:rPr>
      </w:pPr>
      <w:r>
        <w:rPr>
          <w:b/>
          <w:bCs/>
          <w:spacing w:val="6"/>
          <w:lang w:eastAsia="zh-CN"/>
        </w:rPr>
        <w:t>4、</w:t>
      </w:r>
      <w:r>
        <w:rPr>
          <w:b/>
          <w:bCs/>
          <w:spacing w:val="12"/>
          <w:lang w:eastAsia="zh-CN"/>
        </w:rPr>
        <w:t xml:space="preserve">   </w:t>
      </w:r>
      <w:r>
        <w:rPr>
          <w:b/>
          <w:bCs/>
          <w:spacing w:val="6"/>
          <w:lang w:eastAsia="zh-CN"/>
        </w:rPr>
        <w:t>审图收费标准:</w:t>
      </w:r>
    </w:p>
    <w:p w14:paraId="7959733C">
      <w:pPr>
        <w:pStyle w:val="2"/>
        <w:spacing w:before="50" w:line="200" w:lineRule="auto"/>
        <w:ind w:left="730"/>
        <w:rPr>
          <w:lang w:eastAsia="zh-CN"/>
        </w:rPr>
      </w:pPr>
      <w:r>
        <w:rPr>
          <w:spacing w:val="7"/>
          <w:lang w:eastAsia="zh-CN"/>
        </w:rPr>
        <w:t>(1)    展台审图及现场管理服务费用(含线上报图系统使用费)：</w:t>
      </w:r>
      <w:r>
        <w:rPr>
          <w:rFonts w:hint="eastAsia"/>
          <w:spacing w:val="7"/>
          <w:lang w:val="en-US" w:eastAsia="zh-CN"/>
        </w:rPr>
        <w:t>6.5</w:t>
      </w:r>
      <w:r>
        <w:rPr>
          <w:spacing w:val="7"/>
          <w:lang w:eastAsia="zh-CN"/>
        </w:rPr>
        <w:t>元/平方米。</w:t>
      </w:r>
    </w:p>
    <w:p w14:paraId="6EA5144F">
      <w:pPr>
        <w:pStyle w:val="2"/>
        <w:spacing w:before="54" w:line="205" w:lineRule="auto"/>
        <w:ind w:left="372"/>
        <w:outlineLvl w:val="1"/>
        <w:rPr>
          <w:lang w:eastAsia="zh-CN"/>
        </w:rPr>
      </w:pPr>
      <w:r>
        <w:rPr>
          <w:b/>
          <w:bCs/>
          <w:spacing w:val="2"/>
          <w:lang w:eastAsia="zh-CN"/>
        </w:rPr>
        <w:t>5、</w:t>
      </w:r>
      <w:r>
        <w:rPr>
          <w:b/>
          <w:bCs/>
          <w:spacing w:val="10"/>
          <w:w w:val="101"/>
          <w:lang w:eastAsia="zh-CN"/>
        </w:rPr>
        <w:t xml:space="preserve">   </w:t>
      </w:r>
      <w:r>
        <w:rPr>
          <w:b/>
          <w:bCs/>
          <w:spacing w:val="2"/>
          <w:lang w:eastAsia="zh-CN"/>
        </w:rPr>
        <w:t>发票:</w:t>
      </w:r>
    </w:p>
    <w:p w14:paraId="48A37253">
      <w:pPr>
        <w:pStyle w:val="2"/>
        <w:spacing w:before="51" w:line="231" w:lineRule="auto"/>
        <w:ind w:left="1082" w:right="4" w:hanging="352"/>
        <w:rPr>
          <w:lang w:eastAsia="zh-CN"/>
        </w:rPr>
      </w:pPr>
      <w:r>
        <w:rPr>
          <w:spacing w:val="11"/>
          <w:lang w:eastAsia="zh-CN"/>
        </w:rPr>
        <w:t>(1)    参展商/搭建商需在</w:t>
      </w:r>
      <w:r>
        <w:rPr>
          <w:rFonts w:hint="eastAsia"/>
          <w:spacing w:val="8"/>
          <w:lang w:eastAsia="zh-CN"/>
        </w:rPr>
        <w:t>展慧保</w:t>
      </w:r>
      <w:r>
        <w:rPr>
          <w:spacing w:val="11"/>
          <w:lang w:eastAsia="zh-CN"/>
        </w:rPr>
        <w:t>线上报图系统上自行填写发票信息，</w:t>
      </w:r>
      <w:r>
        <w:rPr>
          <w:rFonts w:hint="eastAsia"/>
          <w:spacing w:val="8"/>
          <w:lang w:eastAsia="zh-CN"/>
        </w:rPr>
        <w:t>展慧保</w:t>
      </w:r>
      <w:r>
        <w:rPr>
          <w:spacing w:val="11"/>
          <w:lang w:eastAsia="zh-CN"/>
        </w:rPr>
        <w:t>只会提供电子增值税普通发票，并在展会结束一个月内发送至参展商/</w:t>
      </w:r>
      <w:r>
        <w:rPr>
          <w:spacing w:val="12"/>
          <w:lang w:eastAsia="zh-CN"/>
        </w:rPr>
        <w:t xml:space="preserve"> </w:t>
      </w:r>
      <w:r>
        <w:rPr>
          <w:spacing w:val="6"/>
          <w:lang w:eastAsia="zh-CN"/>
        </w:rPr>
        <w:t>搭建商的指定邮箱。</w:t>
      </w:r>
    </w:p>
    <w:p w14:paraId="104D52EC">
      <w:pPr>
        <w:pStyle w:val="2"/>
        <w:spacing w:before="49" w:line="200" w:lineRule="auto"/>
        <w:ind w:left="730"/>
        <w:rPr>
          <w:lang w:eastAsia="zh-CN"/>
        </w:rPr>
      </w:pPr>
      <w:r>
        <w:rPr>
          <w:spacing w:val="7"/>
          <w:lang w:eastAsia="zh-CN"/>
        </w:rPr>
        <w:t>(2)    由于参展商/搭建商填错发票信息所产生的纠纷，</w:t>
      </w:r>
      <w:r>
        <w:rPr>
          <w:spacing w:val="20"/>
          <w:w w:val="102"/>
          <w:lang w:eastAsia="zh-CN"/>
        </w:rPr>
        <w:t xml:space="preserve"> </w:t>
      </w:r>
      <w:r>
        <w:rPr>
          <w:rFonts w:hint="eastAsia"/>
          <w:spacing w:val="8"/>
          <w:lang w:eastAsia="zh-CN"/>
        </w:rPr>
        <w:t>展慧保</w:t>
      </w:r>
      <w:r>
        <w:rPr>
          <w:spacing w:val="7"/>
          <w:lang w:eastAsia="zh-CN"/>
        </w:rPr>
        <w:t>不承担任何责任。</w:t>
      </w:r>
    </w:p>
    <w:p w14:paraId="11B6524E">
      <w:pPr>
        <w:pStyle w:val="2"/>
        <w:spacing w:before="55" w:line="200" w:lineRule="auto"/>
        <w:ind w:left="730"/>
        <w:rPr>
          <w:lang w:eastAsia="zh-CN"/>
        </w:rPr>
      </w:pPr>
      <w:r>
        <w:rPr>
          <w:spacing w:val="9"/>
          <w:lang w:eastAsia="zh-CN"/>
        </w:rPr>
        <w:t>(3)    由于参展商/搭建商填错发票信息而申请重</w:t>
      </w:r>
      <w:r>
        <w:rPr>
          <w:spacing w:val="8"/>
          <w:lang w:eastAsia="zh-CN"/>
        </w:rPr>
        <w:t>新开票，</w:t>
      </w:r>
      <w:r>
        <w:rPr>
          <w:rFonts w:hint="eastAsia"/>
          <w:spacing w:val="8"/>
          <w:lang w:eastAsia="zh-CN"/>
        </w:rPr>
        <w:t>展慧保</w:t>
      </w:r>
      <w:r>
        <w:rPr>
          <w:spacing w:val="8"/>
          <w:lang w:eastAsia="zh-CN"/>
        </w:rPr>
        <w:t>须一个月的时间处理。</w:t>
      </w:r>
    </w:p>
    <w:p w14:paraId="69B37B4B">
      <w:pPr>
        <w:pStyle w:val="2"/>
        <w:spacing w:before="54" w:line="204" w:lineRule="auto"/>
        <w:ind w:left="367"/>
        <w:rPr>
          <w:lang w:eastAsia="zh-CN"/>
        </w:rPr>
      </w:pPr>
      <w:r>
        <w:rPr>
          <w:b/>
          <w:bCs/>
          <w:spacing w:val="5"/>
          <w:lang w:eastAsia="zh-CN"/>
        </w:rPr>
        <w:t>6、</w:t>
      </w:r>
      <w:r>
        <w:rPr>
          <w:b/>
          <w:bCs/>
          <w:spacing w:val="10"/>
          <w:w w:val="101"/>
          <w:lang w:eastAsia="zh-CN"/>
        </w:rPr>
        <w:t xml:space="preserve">   </w:t>
      </w:r>
      <w:r>
        <w:rPr>
          <w:b/>
          <w:bCs/>
          <w:spacing w:val="5"/>
          <w:lang w:eastAsia="zh-CN"/>
        </w:rPr>
        <w:t>付款方式</w:t>
      </w:r>
      <w:r>
        <w:rPr>
          <w:spacing w:val="5"/>
          <w:lang w:eastAsia="zh-CN"/>
        </w:rPr>
        <w:t>：</w:t>
      </w:r>
    </w:p>
    <w:p w14:paraId="6913FE5B">
      <w:pPr>
        <w:pStyle w:val="2"/>
        <w:spacing w:before="50" w:line="200" w:lineRule="auto"/>
        <w:ind w:left="730"/>
        <w:rPr>
          <w:lang w:eastAsia="zh-CN"/>
        </w:rPr>
      </w:pPr>
      <w:r>
        <w:rPr>
          <w:spacing w:val="8"/>
          <w:lang w:eastAsia="zh-CN"/>
        </w:rPr>
        <w:t>(1)    参展商/搭建商可在</w:t>
      </w:r>
      <w:r>
        <w:rPr>
          <w:rFonts w:hint="eastAsia"/>
          <w:spacing w:val="8"/>
          <w:lang w:eastAsia="zh-CN"/>
        </w:rPr>
        <w:t>展慧保</w:t>
      </w:r>
      <w:r>
        <w:rPr>
          <w:spacing w:val="8"/>
          <w:lang w:eastAsia="zh-CN"/>
        </w:rPr>
        <w:t>线上报图系统</w:t>
      </w:r>
      <w:r>
        <w:rPr>
          <w:rFonts w:hint="eastAsia"/>
          <w:spacing w:val="8"/>
          <w:lang w:eastAsia="zh-CN"/>
        </w:rPr>
        <w:t>认领展位及</w:t>
      </w:r>
      <w:r>
        <w:rPr>
          <w:spacing w:val="8"/>
          <w:lang w:eastAsia="zh-CN"/>
        </w:rPr>
        <w:t>在</w:t>
      </w:r>
      <w:r>
        <w:rPr>
          <w:spacing w:val="7"/>
          <w:lang w:eastAsia="zh-CN"/>
        </w:rPr>
        <w:t>线支付</w:t>
      </w:r>
      <w:r>
        <w:rPr>
          <w:rFonts w:hint="eastAsia"/>
          <w:spacing w:val="7"/>
          <w:lang w:eastAsia="zh-CN"/>
        </w:rPr>
        <w:t>审图及</w:t>
      </w:r>
      <w:r>
        <w:rPr>
          <w:spacing w:val="7"/>
          <w:lang w:eastAsia="zh-CN"/>
        </w:rPr>
        <w:t>现场管理服务费。</w:t>
      </w:r>
    </w:p>
    <w:p w14:paraId="7577144D">
      <w:pPr>
        <w:pStyle w:val="2"/>
        <w:spacing w:before="54" w:line="200" w:lineRule="auto"/>
        <w:ind w:left="730"/>
        <w:rPr>
          <w:lang w:eastAsia="zh-CN"/>
        </w:rPr>
      </w:pPr>
      <w:r>
        <w:rPr>
          <w:spacing w:val="9"/>
          <w:lang w:eastAsia="zh-CN"/>
        </w:rPr>
        <w:t>(2)    参展商/搭建商须在完成支付后</w:t>
      </w:r>
      <w:r>
        <w:rPr>
          <w:rFonts w:hint="eastAsia"/>
          <w:spacing w:val="9"/>
          <w:lang w:eastAsia="zh-CN"/>
        </w:rPr>
        <w:t>，方能上传图纸审核</w:t>
      </w:r>
      <w:r>
        <w:rPr>
          <w:spacing w:val="8"/>
          <w:lang w:eastAsia="zh-CN"/>
        </w:rPr>
        <w:t>。</w:t>
      </w:r>
    </w:p>
    <w:p w14:paraId="570D7083">
      <w:pPr>
        <w:pStyle w:val="2"/>
        <w:spacing w:before="55" w:line="231" w:lineRule="auto"/>
        <w:ind w:left="1081" w:right="13" w:hanging="351"/>
        <w:rPr>
          <w:lang w:eastAsia="zh-CN"/>
        </w:rPr>
      </w:pPr>
      <w:r>
        <w:rPr>
          <w:spacing w:val="11"/>
          <w:lang w:eastAsia="zh-CN"/>
        </w:rPr>
        <w:t xml:space="preserve">(3)    </w:t>
      </w:r>
      <w:r>
        <w:rPr>
          <w:rFonts w:hint="eastAsia"/>
          <w:spacing w:val="8"/>
          <w:lang w:eastAsia="zh-CN"/>
        </w:rPr>
        <w:t>展慧保</w:t>
      </w:r>
      <w:r>
        <w:rPr>
          <w:spacing w:val="11"/>
          <w:lang w:eastAsia="zh-CN"/>
        </w:rPr>
        <w:t>接受</w:t>
      </w:r>
      <w:r>
        <w:rPr>
          <w:b/>
          <w:bCs/>
          <w:spacing w:val="11"/>
          <w:lang w:eastAsia="zh-CN"/>
        </w:rPr>
        <w:t>微信</w:t>
      </w:r>
      <w:r>
        <w:rPr>
          <w:rFonts w:hint="eastAsia"/>
          <w:spacing w:val="11"/>
          <w:lang w:eastAsia="zh-CN"/>
        </w:rPr>
        <w:t>、</w:t>
      </w:r>
      <w:r>
        <w:rPr>
          <w:b/>
          <w:bCs/>
          <w:spacing w:val="11"/>
          <w:lang w:eastAsia="zh-CN"/>
        </w:rPr>
        <w:t>支付宝</w:t>
      </w:r>
      <w:r>
        <w:rPr>
          <w:rFonts w:hint="eastAsia"/>
          <w:b/>
          <w:bCs/>
          <w:spacing w:val="11"/>
          <w:lang w:eastAsia="zh-CN"/>
        </w:rPr>
        <w:t>或对公账户转账</w:t>
      </w:r>
      <w:r>
        <w:rPr>
          <w:spacing w:val="11"/>
          <w:lang w:eastAsia="zh-CN"/>
        </w:rPr>
        <w:t>支付审图及相关费用</w:t>
      </w:r>
      <w:r>
        <w:rPr>
          <w:spacing w:val="9"/>
          <w:lang w:eastAsia="zh-CN"/>
        </w:rPr>
        <w:t>。</w:t>
      </w:r>
    </w:p>
    <w:p w14:paraId="3115D51C">
      <w:pPr>
        <w:pStyle w:val="2"/>
        <w:spacing w:before="51" w:line="231" w:lineRule="auto"/>
        <w:ind w:left="1081" w:right="6" w:hanging="351"/>
        <w:rPr>
          <w:lang w:eastAsia="zh-CN"/>
        </w:rPr>
      </w:pPr>
      <w:r>
        <w:rPr>
          <w:spacing w:val="9"/>
          <w:lang w:eastAsia="zh-CN"/>
        </w:rPr>
        <w:t>(4)    若参展商/搭建商在审核完成并收到显示【通过】的《</w:t>
      </w:r>
      <w:r>
        <w:rPr>
          <w:b/>
          <w:bCs/>
          <w:spacing w:val="8"/>
          <w:lang w:eastAsia="zh-CN"/>
        </w:rPr>
        <w:t>光地(特装)展台</w:t>
      </w:r>
      <w:r>
        <w:rPr>
          <w:rFonts w:hint="eastAsia"/>
          <w:b/>
          <w:bCs/>
          <w:spacing w:val="8"/>
          <w:lang w:eastAsia="zh-CN"/>
        </w:rPr>
        <w:t>图纸审核意见书</w:t>
      </w:r>
      <w:r>
        <w:rPr>
          <w:spacing w:val="9"/>
          <w:lang w:eastAsia="zh-CN"/>
        </w:rPr>
        <w:t>》后更改展</w:t>
      </w:r>
      <w:r>
        <w:rPr>
          <w:spacing w:val="8"/>
          <w:lang w:eastAsia="zh-CN"/>
        </w:rPr>
        <w:t>台设计，</w:t>
      </w:r>
      <w:r>
        <w:rPr>
          <w:spacing w:val="-13"/>
          <w:lang w:eastAsia="zh-CN"/>
        </w:rPr>
        <w:t xml:space="preserve"> </w:t>
      </w:r>
      <w:r>
        <w:rPr>
          <w:spacing w:val="8"/>
          <w:lang w:eastAsia="zh-CN"/>
        </w:rPr>
        <w:t>须</w:t>
      </w:r>
      <w:r>
        <w:rPr>
          <w:rFonts w:hint="eastAsia"/>
          <w:spacing w:val="8"/>
          <w:lang w:eastAsia="zh-CN"/>
        </w:rPr>
        <w:t>电话联系我司说明</w:t>
      </w:r>
      <w:r>
        <w:rPr>
          <w:spacing w:val="8"/>
          <w:lang w:eastAsia="zh-CN"/>
        </w:rPr>
        <w:t>，重</w:t>
      </w:r>
      <w:r>
        <w:rPr>
          <w:spacing w:val="9"/>
          <w:lang w:eastAsia="zh-CN"/>
        </w:rPr>
        <w:t>新上传展台设计图纸至报图系统，</w:t>
      </w:r>
      <w:r>
        <w:rPr>
          <w:rFonts w:hint="eastAsia"/>
          <w:spacing w:val="9"/>
          <w:lang w:eastAsia="zh-CN"/>
        </w:rPr>
        <w:t>并</w:t>
      </w:r>
      <w:r>
        <w:rPr>
          <w:spacing w:val="9"/>
          <w:lang w:eastAsia="zh-CN"/>
        </w:rPr>
        <w:t>重新支付</w:t>
      </w:r>
      <w:r>
        <w:rPr>
          <w:rFonts w:hint="eastAsia"/>
          <w:spacing w:val="8"/>
          <w:lang w:eastAsia="zh-CN"/>
        </w:rPr>
        <w:t>相应</w:t>
      </w:r>
      <w:r>
        <w:rPr>
          <w:spacing w:val="8"/>
          <w:lang w:eastAsia="zh-CN"/>
        </w:rPr>
        <w:t>审图费。</w:t>
      </w:r>
    </w:p>
    <w:p w14:paraId="0054B4E9">
      <w:pPr>
        <w:pStyle w:val="2"/>
        <w:spacing w:before="50" w:line="200" w:lineRule="auto"/>
        <w:ind w:left="730"/>
        <w:rPr>
          <w:lang w:eastAsia="zh-CN"/>
        </w:rPr>
      </w:pPr>
      <w:r>
        <w:rPr>
          <w:spacing w:val="8"/>
          <w:lang w:eastAsia="zh-CN"/>
        </w:rPr>
        <w:t>(5)    参展商/搭建商在完成审图和</w:t>
      </w:r>
      <w:r>
        <w:rPr>
          <w:spacing w:val="7"/>
          <w:lang w:eastAsia="zh-CN"/>
        </w:rPr>
        <w:t>支付</w:t>
      </w:r>
      <w:r>
        <w:rPr>
          <w:rFonts w:hint="eastAsia"/>
          <w:spacing w:val="7"/>
          <w:lang w:eastAsia="zh-CN"/>
        </w:rPr>
        <w:t>费用</w:t>
      </w:r>
      <w:r>
        <w:rPr>
          <w:spacing w:val="7"/>
          <w:lang w:eastAsia="zh-CN"/>
        </w:rPr>
        <w:t>后退展，</w:t>
      </w:r>
      <w:r>
        <w:rPr>
          <w:spacing w:val="13"/>
          <w:w w:val="102"/>
          <w:lang w:eastAsia="zh-CN"/>
        </w:rPr>
        <w:t xml:space="preserve"> </w:t>
      </w:r>
      <w:r>
        <w:rPr>
          <w:spacing w:val="7"/>
          <w:lang w:eastAsia="zh-CN"/>
        </w:rPr>
        <w:t>已收取的审图</w:t>
      </w:r>
      <w:r>
        <w:rPr>
          <w:rFonts w:hint="eastAsia"/>
          <w:spacing w:val="7"/>
          <w:lang w:eastAsia="zh-CN"/>
        </w:rPr>
        <w:t>及</w:t>
      </w:r>
      <w:r>
        <w:rPr>
          <w:spacing w:val="7"/>
          <w:lang w:eastAsia="zh-CN"/>
        </w:rPr>
        <w:t>现场管理服务费将不予退还。</w:t>
      </w:r>
    </w:p>
    <w:p w14:paraId="7AFE51D0">
      <w:pPr>
        <w:pStyle w:val="2"/>
        <w:spacing w:before="127" w:line="194" w:lineRule="auto"/>
        <w:ind w:left="723"/>
        <w:rPr>
          <w:sz w:val="22"/>
          <w:szCs w:val="22"/>
          <w:lang w:eastAsia="zh-CN"/>
        </w:rPr>
      </w:pPr>
      <w:r>
        <w:rPr>
          <w:b/>
          <w:bCs/>
          <w:color w:val="FF0000"/>
          <w:spacing w:val="-1"/>
          <w:sz w:val="22"/>
          <w:szCs w:val="22"/>
          <w:lang w:eastAsia="zh-CN"/>
        </w:rPr>
        <w:t>通知重要，涉及进场搭建布展，务必相互转告，</w:t>
      </w:r>
      <w:r>
        <w:rPr>
          <w:b/>
          <w:bCs/>
          <w:color w:val="FF0000"/>
          <w:spacing w:val="-2"/>
          <w:sz w:val="22"/>
          <w:szCs w:val="22"/>
          <w:lang w:eastAsia="zh-CN"/>
        </w:rPr>
        <w:t>遵照执行！</w:t>
      </w:r>
    </w:p>
    <w:p w14:paraId="6B684AE2">
      <w:pPr>
        <w:spacing w:line="318" w:lineRule="auto"/>
        <w:rPr>
          <w:lang w:eastAsia="zh-CN"/>
        </w:rPr>
      </w:pPr>
    </w:p>
    <w:p w14:paraId="2B6BBB10">
      <w:pPr>
        <w:pStyle w:val="2"/>
        <w:spacing w:before="56" w:line="295" w:lineRule="auto"/>
        <w:ind w:left="8291" w:hanging="333"/>
        <w:rPr>
          <w:lang w:eastAsia="zh-CN"/>
        </w:rPr>
      </w:pPr>
    </w:p>
    <w:sectPr>
      <w:headerReference r:id="rId5" w:type="first"/>
      <w:footerReference r:id="rId8" w:type="first"/>
      <w:headerReference r:id="rId3" w:type="default"/>
      <w:footerReference r:id="rId6" w:type="default"/>
      <w:headerReference r:id="rId4" w:type="even"/>
      <w:footerReference r:id="rId7" w:type="even"/>
      <w:pgSz w:w="12240" w:h="15840"/>
      <w:pgMar w:top="1103" w:right="1346" w:bottom="0" w:left="1440" w:header="331"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9DC0C">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D3972">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EEBAB">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7FB04">
    <w:pPr>
      <w:pStyle w:val="2"/>
      <w:spacing w:before="264" w:line="200" w:lineRule="auto"/>
      <w:ind w:right="3"/>
      <w:jc w:val="right"/>
      <w:rPr>
        <w:sz w:val="19"/>
        <w:szCs w:val="19"/>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B799C">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FF9D6">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233"/>
    <w:rsid w:val="000526BA"/>
    <w:rsid w:val="000F577D"/>
    <w:rsid w:val="0034145E"/>
    <w:rsid w:val="003A2D0B"/>
    <w:rsid w:val="004B63E4"/>
    <w:rsid w:val="005464E0"/>
    <w:rsid w:val="005A630B"/>
    <w:rsid w:val="0061046C"/>
    <w:rsid w:val="006E43AD"/>
    <w:rsid w:val="00795CC0"/>
    <w:rsid w:val="00796C3B"/>
    <w:rsid w:val="007B6233"/>
    <w:rsid w:val="00846207"/>
    <w:rsid w:val="00AE72AB"/>
    <w:rsid w:val="00EF5D76"/>
    <w:rsid w:val="00FC6E00"/>
    <w:rsid w:val="01AE12BB"/>
    <w:rsid w:val="037F10BE"/>
    <w:rsid w:val="055F2BCB"/>
    <w:rsid w:val="06B869C0"/>
    <w:rsid w:val="083B255B"/>
    <w:rsid w:val="090D0886"/>
    <w:rsid w:val="093E73E0"/>
    <w:rsid w:val="0975046F"/>
    <w:rsid w:val="0A5D524B"/>
    <w:rsid w:val="0C5915EE"/>
    <w:rsid w:val="0C970E9C"/>
    <w:rsid w:val="0D5264DB"/>
    <w:rsid w:val="0F290F12"/>
    <w:rsid w:val="0F696B20"/>
    <w:rsid w:val="101E5E95"/>
    <w:rsid w:val="11926D8D"/>
    <w:rsid w:val="120627E3"/>
    <w:rsid w:val="12382E3C"/>
    <w:rsid w:val="130A7A9E"/>
    <w:rsid w:val="16F26D0E"/>
    <w:rsid w:val="187B075B"/>
    <w:rsid w:val="19A5038E"/>
    <w:rsid w:val="1BAB6EFB"/>
    <w:rsid w:val="1BC42F01"/>
    <w:rsid w:val="1CDE3B24"/>
    <w:rsid w:val="1D473345"/>
    <w:rsid w:val="1FAA6E36"/>
    <w:rsid w:val="1FEB6453"/>
    <w:rsid w:val="216A6484"/>
    <w:rsid w:val="21DD6EFA"/>
    <w:rsid w:val="22162020"/>
    <w:rsid w:val="26395481"/>
    <w:rsid w:val="26E6382E"/>
    <w:rsid w:val="27271343"/>
    <w:rsid w:val="2D4B565F"/>
    <w:rsid w:val="2DDB5BB2"/>
    <w:rsid w:val="2E0F1975"/>
    <w:rsid w:val="30191A45"/>
    <w:rsid w:val="30916DCB"/>
    <w:rsid w:val="317309CA"/>
    <w:rsid w:val="32523F5D"/>
    <w:rsid w:val="334449CC"/>
    <w:rsid w:val="335D7E9A"/>
    <w:rsid w:val="33FE42E4"/>
    <w:rsid w:val="36F23231"/>
    <w:rsid w:val="3843357E"/>
    <w:rsid w:val="38842510"/>
    <w:rsid w:val="3A290B99"/>
    <w:rsid w:val="3A2E2954"/>
    <w:rsid w:val="3C2B6D87"/>
    <w:rsid w:val="3FC52C55"/>
    <w:rsid w:val="43530F99"/>
    <w:rsid w:val="43902605"/>
    <w:rsid w:val="43D16466"/>
    <w:rsid w:val="43D353AE"/>
    <w:rsid w:val="440C56F0"/>
    <w:rsid w:val="47172E19"/>
    <w:rsid w:val="486242B4"/>
    <w:rsid w:val="492A2C9F"/>
    <w:rsid w:val="492D2391"/>
    <w:rsid w:val="4C514CFA"/>
    <w:rsid w:val="4E9407BC"/>
    <w:rsid w:val="4F29184C"/>
    <w:rsid w:val="54B41BB8"/>
    <w:rsid w:val="55100F3D"/>
    <w:rsid w:val="55E16CFF"/>
    <w:rsid w:val="583A1FD3"/>
    <w:rsid w:val="592C3907"/>
    <w:rsid w:val="59C74CE3"/>
    <w:rsid w:val="62293D88"/>
    <w:rsid w:val="62491F34"/>
    <w:rsid w:val="624F4CCE"/>
    <w:rsid w:val="63977DC5"/>
    <w:rsid w:val="63E1229E"/>
    <w:rsid w:val="64270BD2"/>
    <w:rsid w:val="65856C59"/>
    <w:rsid w:val="692C5D69"/>
    <w:rsid w:val="69390486"/>
    <w:rsid w:val="6A1E2FF6"/>
    <w:rsid w:val="6D39545C"/>
    <w:rsid w:val="6DB56E82"/>
    <w:rsid w:val="6EDA0016"/>
    <w:rsid w:val="6EF530A1"/>
    <w:rsid w:val="6F0E2F45"/>
    <w:rsid w:val="6F0F4773"/>
    <w:rsid w:val="7012558D"/>
    <w:rsid w:val="72B96FEF"/>
    <w:rsid w:val="73532145"/>
    <w:rsid w:val="74730F40"/>
    <w:rsid w:val="775947BB"/>
    <w:rsid w:val="79D86B8E"/>
    <w:rsid w:val="7A9E0310"/>
    <w:rsid w:val="7DCD73FA"/>
    <w:rsid w:val="7E751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13"/>
      <w:szCs w:val="13"/>
    </w:rPr>
  </w:style>
  <w:style w:type="paragraph" w:styleId="3">
    <w:name w:val="footer"/>
    <w:basedOn w:val="1"/>
    <w:qFormat/>
    <w:uiPriority w:val="0"/>
    <w:pPr>
      <w:tabs>
        <w:tab w:val="center" w:pos="4153"/>
        <w:tab w:val="right" w:pos="8306"/>
      </w:tabs>
    </w:pPr>
    <w:rPr>
      <w:sz w:val="18"/>
    </w:rPr>
  </w:style>
  <w:style w:type="paragraph" w:styleId="4">
    <w:name w:val="header"/>
    <w:basedOn w:val="1"/>
    <w:link w:val="10"/>
    <w:qFormat/>
    <w:uiPriority w:val="0"/>
    <w:pPr>
      <w:tabs>
        <w:tab w:val="center" w:pos="4153"/>
        <w:tab w:val="right" w:pos="8306"/>
      </w:tabs>
      <w:jc w:val="center"/>
    </w:pPr>
    <w:rPr>
      <w:sz w:val="18"/>
      <w:szCs w:val="18"/>
    </w:rPr>
  </w:style>
  <w:style w:type="character" w:styleId="7">
    <w:name w:val="FollowedHyperlink"/>
    <w:basedOn w:val="6"/>
    <w:uiPriority w:val="0"/>
    <w:rPr>
      <w:color w:val="800080" w:themeColor="followedHyperlink"/>
      <w:u w:val="single"/>
      <w14:textFill>
        <w14:solidFill>
          <w14:schemeClr w14:val="folHlink"/>
        </w14:solidFill>
      </w14:textFill>
    </w:rPr>
  </w:style>
  <w:style w:type="character" w:styleId="8">
    <w:name w:val="Hyperlink"/>
    <w:basedOn w:val="6"/>
    <w:qFormat/>
    <w:uiPriority w:val="0"/>
    <w:rPr>
      <w:color w:val="0000FF"/>
      <w:u w:val="single"/>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页眉 字符"/>
    <w:basedOn w:val="6"/>
    <w:link w:val="4"/>
    <w:uiPriority w:val="0"/>
    <w:rPr>
      <w:rFonts w:eastAsia="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1422</Words>
  <Characters>1537</Characters>
  <Lines>12</Lines>
  <Paragraphs>3</Paragraphs>
  <TotalTime>5</TotalTime>
  <ScaleCrop>false</ScaleCrop>
  <LinksUpToDate>false</LinksUpToDate>
  <CharactersWithSpaces>1655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2026-03-04T03:03:00Z</dcterms:created>
  <dc:creator>Song, Joe</dc:creator>
  <cp:lastModifiedBy>董国生</cp:lastModifiedBy>
  <dcterms:modified xsi:type="dcterms:W3CDTF">2026-06-09T02:30:43Z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2025-04-18T16:35:01Z</vt:filetime>
  </property>
  <property fmtid="{D5CDD505-2E9C-101B-9397-08002B2CF9AE}" pid="4" name="KSOTemplateDocerSaveRecord">
    <vt:lpwstr>eyJoZGlkIjoiMWRmMzJmMDcxYWVhZTU5YWM2YjI5NjY2OWZkYTc2NzAiLCJ1c2VySWQiOiIzOTA3MjY2MTcifQ==</vt:lpwstr>
  </property>
  <property fmtid="{D5CDD505-2E9C-101B-9397-08002B2CF9AE}" pid="5" name="KSOProductBuildVer">
    <vt:lpwstr>2052-12.1.0.26375</vt:lpwstr>
  </property>
  <property fmtid="{D5CDD505-2E9C-101B-9397-08002B2CF9AE}" pid="6" name="ICV">
    <vt:lpwstr>FFACF780236B43659674C5DF5AFB81B3_12</vt:lpwstr>
  </property>
</Properties>
</file>